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C9" w:rsidRPr="00D74E0C" w:rsidRDefault="00061ACB">
      <w:pPr>
        <w:pStyle w:val="Standard"/>
        <w:jc w:val="center"/>
      </w:pPr>
      <w:r w:rsidRPr="00D74E0C">
        <w:rPr>
          <w:rFonts w:ascii="新細明體" w:hAnsi="新細明體" w:cs="新細明體"/>
          <w:noProof/>
          <w:kern w:val="0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4382" wp14:editId="7C7FD86B">
                <wp:simplePos x="0" y="0"/>
                <wp:positionH relativeFrom="column">
                  <wp:posOffset>5541645</wp:posOffset>
                </wp:positionH>
                <wp:positionV relativeFrom="paragraph">
                  <wp:posOffset>-226423</wp:posOffset>
                </wp:positionV>
                <wp:extent cx="900427" cy="342900"/>
                <wp:effectExtent l="0" t="0" r="0" b="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24FC9" w:rsidRDefault="00061A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11</w:t>
                            </w:r>
                            <w:r w:rsidR="00424555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.</w:t>
                            </w:r>
                            <w:r w:rsidR="00424555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.</w:t>
                            </w:r>
                            <w:r w:rsidR="0077040A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6EC8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6.35pt;margin-top:-17.85pt;width:70.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" filled="f" stroked="f">
                <v:textbox>
                  <w:txbxContent>
                    <w:p w:rsidR="00924FC9" w:rsidRDefault="00061ACB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11</w:t>
                      </w:r>
                      <w:r w:rsidR="00424555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.</w:t>
                      </w:r>
                      <w:r w:rsidR="00424555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.</w:t>
                      </w:r>
                      <w:r w:rsidR="0077040A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15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D74E0C">
        <w:rPr>
          <w:rFonts w:ascii="標楷體" w:eastAsia="標楷體" w:hAnsi="標楷體"/>
          <w:b/>
          <w:sz w:val="32"/>
          <w:szCs w:val="36"/>
        </w:rPr>
        <w:t>國立臺灣大學新進校聘人員切結書</w:t>
      </w:r>
    </w:p>
    <w:p w:rsidR="00924FC9" w:rsidRPr="00D74E0C" w:rsidRDefault="00061ACB" w:rsidP="00A17A36">
      <w:pPr>
        <w:pStyle w:val="Standard"/>
        <w:snapToGrid w:val="0"/>
        <w:spacing w:line="276" w:lineRule="auto"/>
        <w:jc w:val="both"/>
      </w:pPr>
      <w:r w:rsidRPr="00D74E0C">
        <w:rPr>
          <w:rFonts w:ascii="標楷體" w:eastAsia="標楷體" w:hAnsi="標楷體"/>
          <w:sz w:val="28"/>
          <w:szCs w:val="28"/>
        </w:rPr>
        <w:t xml:space="preserve">    本人於服務期間確實遵守國立臺灣大學(下稱校方)所定校聘人員管理要點、校聘人員工作規則、契約書之相關規定，並針對下列事項切結</w:t>
      </w:r>
      <w:r w:rsidRPr="00D74E0C">
        <w:rPr>
          <w:rFonts w:ascii="標楷體" w:eastAsia="標楷體" w:hAnsi="標楷體"/>
          <w:b/>
          <w:sz w:val="28"/>
          <w:szCs w:val="28"/>
          <w:u w:val="single"/>
        </w:rPr>
        <w:t>（請打勾）</w:t>
      </w:r>
      <w:r w:rsidRPr="00D74E0C">
        <w:rPr>
          <w:rFonts w:ascii="標楷體" w:eastAsia="標楷體" w:hAnsi="標楷體"/>
          <w:sz w:val="28"/>
          <w:szCs w:val="28"/>
        </w:rPr>
        <w:t>，如有虛偽意思表示，致校方誤信而受損，或有受損害之虞，校方得依校聘人員工作規則第6條</w:t>
      </w:r>
      <w:r w:rsidR="00A23AD7" w:rsidRPr="00D74E0C">
        <w:rPr>
          <w:rFonts w:ascii="標楷體" w:eastAsia="標楷體" w:hAnsi="標楷體" w:hint="eastAsia"/>
          <w:sz w:val="28"/>
          <w:szCs w:val="28"/>
        </w:rPr>
        <w:t>規定</w:t>
      </w:r>
      <w:r w:rsidR="00A17A36" w:rsidRPr="00D74E0C">
        <w:rPr>
          <w:rFonts w:ascii="標楷體" w:eastAsia="標楷體" w:hAnsi="標楷體" w:hint="eastAsia"/>
          <w:sz w:val="28"/>
          <w:szCs w:val="28"/>
        </w:rPr>
        <w:t>及勞基法相關規定</w:t>
      </w:r>
      <w:r w:rsidRPr="00D74E0C">
        <w:rPr>
          <w:rFonts w:ascii="標楷體" w:eastAsia="標楷體" w:hAnsi="標楷體"/>
          <w:sz w:val="28"/>
          <w:szCs w:val="28"/>
        </w:rPr>
        <w:t>終止契約，</w:t>
      </w:r>
      <w:r w:rsidR="00A17A36" w:rsidRPr="00D74E0C">
        <w:rPr>
          <w:rFonts w:ascii="標楷體" w:eastAsia="標楷體" w:hAnsi="標楷體" w:hint="eastAsia"/>
          <w:sz w:val="28"/>
          <w:szCs w:val="28"/>
        </w:rPr>
        <w:t>並</w:t>
      </w:r>
      <w:r w:rsidRPr="00D74E0C">
        <w:rPr>
          <w:rFonts w:ascii="標楷體" w:eastAsia="標楷體" w:hAnsi="標楷體"/>
          <w:sz w:val="28"/>
          <w:szCs w:val="28"/>
        </w:rPr>
        <w:t>依</w:t>
      </w:r>
      <w:r w:rsidR="00A17A36" w:rsidRPr="00D74E0C">
        <w:rPr>
          <w:rFonts w:ascii="標楷體" w:eastAsia="標楷體" w:hAnsi="標楷體" w:hint="eastAsia"/>
          <w:sz w:val="28"/>
          <w:szCs w:val="28"/>
        </w:rPr>
        <w:t>法訴究相關責任</w:t>
      </w:r>
      <w:r w:rsidRPr="00D74E0C">
        <w:rPr>
          <w:rFonts w:ascii="標楷體" w:eastAsia="標楷體" w:hAnsi="標楷體"/>
          <w:sz w:val="28"/>
          <w:szCs w:val="28"/>
        </w:rPr>
        <w:t>。</w:t>
      </w:r>
    </w:p>
    <w:p w:rsidR="00A73275" w:rsidRPr="00D74E0C" w:rsidRDefault="00A73275">
      <w:pPr>
        <w:pStyle w:val="Standard"/>
        <w:numPr>
          <w:ilvl w:val="0"/>
          <w:numId w:val="4"/>
        </w:numPr>
        <w:snapToGrid w:val="0"/>
        <w:spacing w:before="180" w:line="276" w:lineRule="auto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D74E0C">
        <w:rPr>
          <w:rFonts w:ascii="標楷體" w:eastAsia="標楷體" w:hAnsi="標楷體" w:hint="eastAsia"/>
          <w:sz w:val="28"/>
          <w:szCs w:val="28"/>
        </w:rPr>
        <w:t>同意校方得向法務部、內政部警政署及衛生福利部辦理其有關性侵害、性騷擾或性霸凌行為及通報作業相關資訊之蒐集、利用及查詢，並同意法務部、內政部警政署及衛生福利部提供相關資訊；離職後始經查證屬實時，亦同。</w:t>
      </w:r>
    </w:p>
    <w:p w:rsidR="00924FC9" w:rsidRPr="00D74E0C" w:rsidRDefault="00061ACB">
      <w:pPr>
        <w:pStyle w:val="Standard"/>
        <w:numPr>
          <w:ilvl w:val="0"/>
          <w:numId w:val="4"/>
        </w:numPr>
        <w:snapToGrid w:val="0"/>
        <w:spacing w:before="180" w:line="276" w:lineRule="auto"/>
        <w:ind w:left="357" w:hanging="357"/>
        <w:jc w:val="both"/>
      </w:pPr>
      <w:r w:rsidRPr="00D74E0C">
        <w:rPr>
          <w:rFonts w:ascii="標楷體" w:eastAsia="標楷體" w:hAnsi="標楷體"/>
          <w:sz w:val="28"/>
          <w:szCs w:val="28"/>
        </w:rPr>
        <w:t>未有下列不得為校聘人員之情事。</w:t>
      </w:r>
    </w:p>
    <w:p w:rsidR="00924FC9" w:rsidRPr="00D74E0C" w:rsidRDefault="00061ACB">
      <w:pPr>
        <w:pStyle w:val="Standard"/>
        <w:numPr>
          <w:ilvl w:val="0"/>
          <w:numId w:val="8"/>
        </w:numPr>
        <w:snapToGrid w:val="0"/>
        <w:ind w:left="714" w:hanging="357"/>
        <w:jc w:val="both"/>
        <w:rPr>
          <w:rFonts w:ascii="標楷體" w:eastAsia="標楷體" w:hAnsi="標楷體"/>
          <w:sz w:val="28"/>
          <w:szCs w:val="20"/>
        </w:rPr>
      </w:pPr>
      <w:r w:rsidRPr="00D74E0C">
        <w:rPr>
          <w:rFonts w:ascii="標楷體" w:eastAsia="標楷體" w:hAnsi="標楷體"/>
          <w:sz w:val="28"/>
          <w:szCs w:val="20"/>
        </w:rPr>
        <w:t>動員戡亂時期終止後，曾犯內亂罪、外患罪，或曾服公務有貪污行為，經有罪判決確定或通緝有案尚未結案。</w:t>
      </w:r>
    </w:p>
    <w:p w:rsidR="00924FC9" w:rsidRPr="00D74E0C" w:rsidRDefault="00061ACB">
      <w:pPr>
        <w:pStyle w:val="Standard"/>
        <w:numPr>
          <w:ilvl w:val="0"/>
          <w:numId w:val="8"/>
        </w:numPr>
        <w:snapToGrid w:val="0"/>
        <w:ind w:left="714" w:hanging="357"/>
        <w:jc w:val="both"/>
        <w:rPr>
          <w:rFonts w:ascii="標楷體" w:eastAsia="標楷體" w:hAnsi="標楷體"/>
          <w:sz w:val="28"/>
          <w:szCs w:val="20"/>
        </w:rPr>
      </w:pPr>
      <w:r w:rsidRPr="00D74E0C">
        <w:rPr>
          <w:rFonts w:ascii="標楷體" w:eastAsia="標楷體" w:hAnsi="標楷體"/>
          <w:sz w:val="28"/>
          <w:szCs w:val="20"/>
        </w:rPr>
        <w:t>犯前項以外之罪，判處有期徒刑以上之刑確定，尚未執行或執行未畢。但受緩刑宣告者，不在此限。</w:t>
      </w:r>
    </w:p>
    <w:p w:rsidR="00924FC9" w:rsidRPr="00D74E0C" w:rsidRDefault="00061ACB">
      <w:pPr>
        <w:pStyle w:val="Standard"/>
        <w:numPr>
          <w:ilvl w:val="0"/>
          <w:numId w:val="8"/>
        </w:numPr>
        <w:snapToGrid w:val="0"/>
        <w:ind w:left="714" w:hanging="357"/>
        <w:jc w:val="both"/>
        <w:rPr>
          <w:rFonts w:ascii="標楷體" w:eastAsia="標楷體" w:hAnsi="標楷體"/>
          <w:sz w:val="28"/>
          <w:szCs w:val="20"/>
        </w:rPr>
      </w:pPr>
      <w:r w:rsidRPr="00D74E0C">
        <w:rPr>
          <w:rFonts w:ascii="標楷體" w:eastAsia="標楷體" w:hAnsi="標楷體"/>
          <w:sz w:val="28"/>
          <w:szCs w:val="20"/>
        </w:rPr>
        <w:t>受監護或輔助宣告，尚未撤銷。</w:t>
      </w:r>
    </w:p>
    <w:p w:rsidR="00924FC9" w:rsidRPr="00D74E0C" w:rsidRDefault="00061ACB">
      <w:pPr>
        <w:pStyle w:val="Standard"/>
        <w:numPr>
          <w:ilvl w:val="0"/>
          <w:numId w:val="8"/>
        </w:numPr>
        <w:snapToGrid w:val="0"/>
        <w:ind w:left="714" w:hanging="357"/>
        <w:jc w:val="both"/>
        <w:rPr>
          <w:rFonts w:ascii="標楷體" w:eastAsia="標楷體" w:hAnsi="標楷體"/>
          <w:sz w:val="28"/>
          <w:szCs w:val="20"/>
        </w:rPr>
      </w:pPr>
      <w:r w:rsidRPr="00D74E0C">
        <w:rPr>
          <w:rFonts w:ascii="標楷體" w:eastAsia="標楷體" w:hAnsi="標楷體"/>
          <w:sz w:val="28"/>
          <w:szCs w:val="20"/>
        </w:rPr>
        <w:t>有性別平等教育法第</w:t>
      </w:r>
      <w:r w:rsidR="00424555" w:rsidRPr="00D74E0C">
        <w:rPr>
          <w:rFonts w:ascii="標楷體" w:eastAsia="標楷體" w:hAnsi="標楷體"/>
          <w:sz w:val="28"/>
          <w:szCs w:val="28"/>
        </w:rPr>
        <w:t>29</w:t>
      </w:r>
      <w:r w:rsidRPr="00D74E0C">
        <w:rPr>
          <w:rFonts w:ascii="標楷體" w:eastAsia="標楷體" w:hAnsi="標楷體"/>
          <w:sz w:val="28"/>
          <w:szCs w:val="20"/>
        </w:rPr>
        <w:t>條所定性侵害、性騷擾、性霸凌行為。</w:t>
      </w:r>
    </w:p>
    <w:p w:rsidR="00924FC9" w:rsidRPr="00D74E0C" w:rsidRDefault="00061ACB">
      <w:pPr>
        <w:pStyle w:val="Standard"/>
        <w:numPr>
          <w:ilvl w:val="0"/>
          <w:numId w:val="8"/>
        </w:numPr>
        <w:snapToGrid w:val="0"/>
        <w:ind w:left="714" w:hanging="357"/>
        <w:jc w:val="both"/>
        <w:rPr>
          <w:rFonts w:ascii="標楷體" w:eastAsia="標楷體" w:hAnsi="標楷體"/>
          <w:sz w:val="28"/>
          <w:szCs w:val="20"/>
        </w:rPr>
      </w:pPr>
      <w:r w:rsidRPr="00D74E0C">
        <w:rPr>
          <w:rFonts w:ascii="標楷體" w:eastAsia="標楷體" w:hAnsi="標楷體"/>
          <w:sz w:val="28"/>
          <w:szCs w:val="20"/>
        </w:rPr>
        <w:t>具擬任單位一、二級主管之配偶及三親等以內血親、姻親身分</w:t>
      </w:r>
    </w:p>
    <w:p w:rsidR="00924FC9" w:rsidRPr="00D74E0C" w:rsidRDefault="0077040A" w:rsidP="0077040A">
      <w:pPr>
        <w:pStyle w:val="Standard"/>
        <w:numPr>
          <w:ilvl w:val="0"/>
          <w:numId w:val="4"/>
        </w:numPr>
        <w:snapToGrid w:val="0"/>
        <w:spacing w:before="180" w:line="276" w:lineRule="auto"/>
        <w:jc w:val="both"/>
      </w:pPr>
      <w:r w:rsidRPr="00D74E0C">
        <w:rPr>
          <w:rFonts w:ascii="標楷體" w:eastAsia="標楷體" w:hAnsi="標楷體" w:hint="eastAsia"/>
          <w:sz w:val="28"/>
          <w:szCs w:val="28"/>
        </w:rPr>
        <w:t>具有（或未喪失）中華民國國籍，或具中華民國國籍</w:t>
      </w:r>
      <w:r w:rsidR="00424555" w:rsidRPr="00D74E0C">
        <w:rPr>
          <w:rFonts w:ascii="標楷體" w:eastAsia="標楷體" w:hAnsi="標楷體" w:hint="eastAsia"/>
          <w:sz w:val="28"/>
          <w:szCs w:val="28"/>
        </w:rPr>
        <w:t>兼具</w:t>
      </w:r>
      <w:r w:rsidRPr="00D74E0C">
        <w:rPr>
          <w:rFonts w:ascii="標楷體" w:eastAsia="標楷體" w:hAnsi="標楷體" w:hint="eastAsia"/>
          <w:sz w:val="28"/>
          <w:szCs w:val="28"/>
        </w:rPr>
        <w:t>外國國籍且已在國內設籍。</w:t>
      </w:r>
      <w:r w:rsidR="00061ACB" w:rsidRPr="00D74E0C">
        <w:rPr>
          <w:rFonts w:ascii="標楷體" w:eastAsia="標楷體" w:hAnsi="標楷體"/>
          <w:b/>
          <w:sz w:val="28"/>
          <w:szCs w:val="28"/>
        </w:rPr>
        <w:t>【</w:t>
      </w:r>
      <w:r w:rsidRPr="00D74E0C">
        <w:rPr>
          <w:rFonts w:ascii="標楷體" w:eastAsia="標楷體" w:hAnsi="標楷體" w:hint="eastAsia"/>
          <w:b/>
          <w:sz w:val="28"/>
          <w:szCs w:val="28"/>
        </w:rPr>
        <w:t>未具上開資格者，如因具專長或特殊技能</w:t>
      </w:r>
      <w:r w:rsidR="00424555" w:rsidRPr="00D74E0C">
        <w:rPr>
          <w:rFonts w:ascii="標楷體" w:eastAsia="標楷體" w:hAnsi="標楷體" w:hint="eastAsia"/>
          <w:b/>
          <w:sz w:val="28"/>
          <w:szCs w:val="28"/>
        </w:rPr>
        <w:t>而在國內不易覓得之人才</w:t>
      </w:r>
      <w:r w:rsidRPr="00D74E0C">
        <w:rPr>
          <w:rFonts w:ascii="標楷體" w:eastAsia="標楷體" w:hAnsi="標楷體" w:hint="eastAsia"/>
          <w:b/>
          <w:sz w:val="28"/>
          <w:szCs w:val="28"/>
        </w:rPr>
        <w:t>，且不涉及國家機密之職務，應於進用前主動告知校方，由用人單位循行政程序專簽提審核小組審議</w:t>
      </w:r>
      <w:r w:rsidR="00061ACB" w:rsidRPr="00D74E0C">
        <w:rPr>
          <w:rFonts w:ascii="標楷體" w:eastAsia="標楷體" w:hAnsi="標楷體"/>
          <w:b/>
          <w:sz w:val="28"/>
          <w:szCs w:val="28"/>
        </w:rPr>
        <w:t>】</w:t>
      </w:r>
      <w:r w:rsidR="00061ACB" w:rsidRPr="00D74E0C">
        <w:rPr>
          <w:rFonts w:ascii="標楷體" w:eastAsia="標楷體" w:hAnsi="標楷體"/>
          <w:sz w:val="28"/>
          <w:szCs w:val="28"/>
        </w:rPr>
        <w:t>。</w:t>
      </w:r>
    </w:p>
    <w:p w:rsidR="00924FC9" w:rsidRPr="00D74E0C" w:rsidRDefault="00061ACB">
      <w:pPr>
        <w:pStyle w:val="Standard"/>
        <w:numPr>
          <w:ilvl w:val="0"/>
          <w:numId w:val="4"/>
        </w:numPr>
        <w:snapToGrid w:val="0"/>
        <w:spacing w:before="180" w:line="276" w:lineRule="auto"/>
        <w:ind w:left="357" w:hanging="357"/>
        <w:jc w:val="both"/>
      </w:pPr>
      <w:r w:rsidRPr="00D74E0C">
        <w:rPr>
          <w:rFonts w:ascii="標楷體" w:eastAsia="標楷體" w:hAnsi="標楷體"/>
          <w:sz w:val="28"/>
          <w:szCs w:val="28"/>
        </w:rPr>
        <w:t>不具學生身分</w:t>
      </w:r>
      <w:r w:rsidRPr="00D74E0C">
        <w:rPr>
          <w:rFonts w:ascii="標楷體" w:eastAsia="標楷體" w:hAnsi="標楷體"/>
          <w:b/>
          <w:sz w:val="28"/>
          <w:szCs w:val="28"/>
        </w:rPr>
        <w:t>【如已申請休學、利用公餘時間上課，或碩(博)士班學生已修畢課程，且能以全部時間投入工作者，應於進用前主動告知校方，由用人單位循行政程序專簽提審核小組審議】</w:t>
      </w:r>
      <w:r w:rsidRPr="00D74E0C">
        <w:rPr>
          <w:rFonts w:ascii="標楷體" w:eastAsia="標楷體" w:hAnsi="標楷體"/>
          <w:sz w:val="28"/>
          <w:szCs w:val="28"/>
        </w:rPr>
        <w:t>。</w:t>
      </w:r>
    </w:p>
    <w:p w:rsidR="00924FC9" w:rsidRPr="00D74E0C" w:rsidRDefault="00061ACB">
      <w:pPr>
        <w:pStyle w:val="Standard"/>
        <w:numPr>
          <w:ilvl w:val="0"/>
          <w:numId w:val="4"/>
        </w:numPr>
        <w:snapToGrid w:val="0"/>
        <w:spacing w:before="180" w:line="276" w:lineRule="auto"/>
        <w:ind w:left="357" w:hanging="357"/>
        <w:jc w:val="both"/>
      </w:pPr>
      <w:r w:rsidRPr="00D74E0C">
        <w:rPr>
          <w:rFonts w:ascii="標楷體" w:eastAsia="標楷體" w:hAnsi="標楷體"/>
          <w:sz w:val="28"/>
          <w:szCs w:val="28"/>
        </w:rPr>
        <w:t>非為領有月退休金（俸）之退休（職）軍公教人員</w:t>
      </w:r>
      <w:r w:rsidRPr="00D74E0C">
        <w:rPr>
          <w:rFonts w:ascii="標楷體" w:eastAsia="標楷體" w:hAnsi="標楷體"/>
          <w:b/>
          <w:sz w:val="28"/>
          <w:szCs w:val="28"/>
        </w:rPr>
        <w:t>【如有，應於進用前主動告知校方，由用人單位循行政程序專簽提審核小組審議】</w:t>
      </w:r>
      <w:r w:rsidRPr="00D74E0C">
        <w:rPr>
          <w:rFonts w:ascii="標楷體" w:eastAsia="標楷體" w:hAnsi="標楷體"/>
          <w:sz w:val="28"/>
          <w:szCs w:val="28"/>
        </w:rPr>
        <w:t>。</w:t>
      </w:r>
    </w:p>
    <w:p w:rsidR="00924FC9" w:rsidRPr="00D74E0C" w:rsidRDefault="00061ACB">
      <w:pPr>
        <w:pStyle w:val="Standard"/>
        <w:numPr>
          <w:ilvl w:val="0"/>
          <w:numId w:val="4"/>
        </w:numPr>
        <w:snapToGrid w:val="0"/>
        <w:spacing w:before="180" w:line="276" w:lineRule="auto"/>
        <w:jc w:val="both"/>
      </w:pPr>
      <w:r w:rsidRPr="00D74E0C">
        <w:rPr>
          <w:rFonts w:ascii="標楷體" w:eastAsia="標楷體" w:hAnsi="標楷體"/>
          <w:sz w:val="28"/>
          <w:szCs w:val="28"/>
        </w:rPr>
        <w:t>不具兼職及兼課身分</w:t>
      </w:r>
      <w:r w:rsidRPr="00D74E0C">
        <w:rPr>
          <w:rFonts w:ascii="標楷體" w:eastAsia="標楷體" w:hAnsi="標楷體"/>
          <w:b/>
          <w:sz w:val="28"/>
          <w:szCs w:val="28"/>
        </w:rPr>
        <w:t>【如有，應依個案具體事實</w:t>
      </w:r>
      <w:r w:rsidR="00424555" w:rsidRPr="00D74E0C">
        <w:rPr>
          <w:rFonts w:ascii="標楷體" w:eastAsia="標楷體" w:hAnsi="標楷體" w:hint="eastAsia"/>
          <w:sz w:val="28"/>
          <w:szCs w:val="28"/>
        </w:rPr>
        <w:t>循行政程序</w:t>
      </w:r>
      <w:r w:rsidRPr="00D74E0C">
        <w:rPr>
          <w:rFonts w:ascii="標楷體" w:eastAsia="標楷體" w:hAnsi="標楷體"/>
          <w:b/>
          <w:sz w:val="28"/>
          <w:szCs w:val="28"/>
        </w:rPr>
        <w:t>提審核小組，以不損及本校利益</w:t>
      </w:r>
      <w:r w:rsidR="00424555" w:rsidRPr="00D74E0C">
        <w:rPr>
          <w:rFonts w:ascii="標楷體" w:eastAsia="標楷體" w:hAnsi="標楷體" w:hint="eastAsia"/>
          <w:b/>
          <w:sz w:val="28"/>
          <w:szCs w:val="28"/>
        </w:rPr>
        <w:t>及不影響履行其原有職務</w:t>
      </w:r>
      <w:r w:rsidRPr="00D74E0C">
        <w:rPr>
          <w:rFonts w:ascii="標楷體" w:eastAsia="標楷體" w:hAnsi="標楷體"/>
          <w:b/>
          <w:sz w:val="28"/>
          <w:szCs w:val="28"/>
        </w:rPr>
        <w:t>為原則審議】</w:t>
      </w:r>
      <w:r w:rsidRPr="00D74E0C">
        <w:rPr>
          <w:rFonts w:ascii="標楷體" w:eastAsia="標楷體" w:hAnsi="標楷體"/>
          <w:sz w:val="28"/>
          <w:szCs w:val="28"/>
        </w:rPr>
        <w:t>。</w:t>
      </w:r>
    </w:p>
    <w:p w:rsidR="00924FC9" w:rsidRPr="00D74E0C" w:rsidRDefault="00061ACB">
      <w:pPr>
        <w:pStyle w:val="Standard"/>
        <w:numPr>
          <w:ilvl w:val="0"/>
          <w:numId w:val="4"/>
        </w:numPr>
        <w:snapToGrid w:val="0"/>
        <w:spacing w:before="180" w:line="276" w:lineRule="auto"/>
        <w:ind w:left="357" w:hanging="357"/>
        <w:jc w:val="both"/>
      </w:pPr>
      <w:r w:rsidRPr="00D74E0C">
        <w:rPr>
          <w:rFonts w:ascii="標楷體" w:eastAsia="標楷體" w:hAnsi="標楷體"/>
          <w:sz w:val="28"/>
          <w:szCs w:val="28"/>
        </w:rPr>
        <w:t>未違反臺灣地區與大陸地區人民關係條例第21條規定。</w:t>
      </w:r>
    </w:p>
    <w:p w:rsidR="00924FC9" w:rsidRPr="00D74E0C" w:rsidRDefault="00424555" w:rsidP="00D74E0C">
      <w:pPr>
        <w:pStyle w:val="Standard"/>
        <w:spacing w:before="240" w:line="276" w:lineRule="auto"/>
        <w:rPr>
          <w:rFonts w:ascii="標楷體" w:eastAsia="標楷體" w:hAnsi="標楷體"/>
          <w:sz w:val="32"/>
          <w:szCs w:val="32"/>
        </w:rPr>
      </w:pPr>
      <w:r w:rsidRPr="00D74E0C">
        <w:rPr>
          <w:rFonts w:ascii="標楷體" w:eastAsia="標楷體" w:hAnsi="標楷體" w:hint="eastAsia"/>
          <w:sz w:val="32"/>
          <w:szCs w:val="32"/>
        </w:rPr>
        <w:t xml:space="preserve">  </w:t>
      </w:r>
      <w:r w:rsidR="00061ACB" w:rsidRPr="00D74E0C">
        <w:rPr>
          <w:rFonts w:ascii="標楷體" w:eastAsia="標楷體" w:hAnsi="標楷體"/>
          <w:sz w:val="32"/>
          <w:szCs w:val="32"/>
        </w:rPr>
        <w:t>切 結 人：                     身分證號：</w:t>
      </w:r>
    </w:p>
    <w:p w:rsidR="00661577" w:rsidRPr="00D74E0C" w:rsidRDefault="00661577" w:rsidP="00D74E0C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D74E0C">
        <w:rPr>
          <w:rFonts w:ascii="標楷體" w:eastAsia="標楷體" w:hAnsi="標楷體" w:hint="eastAsia"/>
          <w:sz w:val="32"/>
          <w:szCs w:val="32"/>
        </w:rPr>
        <w:t>中華民國        年</w:t>
      </w:r>
      <w:bookmarkStart w:id="0" w:name="_GoBack"/>
      <w:bookmarkEnd w:id="0"/>
      <w:r w:rsidRPr="00D74E0C">
        <w:rPr>
          <w:rFonts w:ascii="標楷體" w:eastAsia="標楷體" w:hAnsi="標楷體" w:hint="eastAsia"/>
          <w:sz w:val="32"/>
          <w:szCs w:val="32"/>
        </w:rPr>
        <w:t xml:space="preserve">        月        日</w:t>
      </w:r>
    </w:p>
    <w:p w:rsidR="00924FC9" w:rsidRPr="00D74E0C" w:rsidRDefault="00061ACB">
      <w:pPr>
        <w:pStyle w:val="Standard"/>
      </w:pPr>
      <w:r w:rsidRPr="00D74E0C">
        <w:rPr>
          <w:rFonts w:ascii="標楷體" w:eastAsia="標楷體" w:hAnsi="標楷體"/>
          <w:b/>
          <w:sz w:val="28"/>
          <w:szCs w:val="28"/>
        </w:rPr>
        <w:lastRenderedPageBreak/>
        <w:t>※國立臺灣大學校聘人員管理要點（摘錄）</w:t>
      </w:r>
    </w:p>
    <w:p w:rsidR="00924FC9" w:rsidRPr="00D74E0C" w:rsidRDefault="00424555">
      <w:pPr>
        <w:pStyle w:val="Standard"/>
        <w:widowControl/>
        <w:snapToGrid w:val="0"/>
        <w:ind w:left="400" w:hanging="40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第4點 有下列情事之一者，不得進用為校聘人員：</w:t>
      </w:r>
    </w:p>
    <w:p w:rsidR="00424555" w:rsidRPr="00D74E0C" w:rsidRDefault="00424555" w:rsidP="00424555">
      <w:pPr>
        <w:pStyle w:val="Standard"/>
        <w:widowControl/>
        <w:snapToGrid w:val="0"/>
        <w:ind w:firstLineChars="300" w:firstLine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（一）未具或喪失中華民國國籍。</w:t>
      </w:r>
    </w:p>
    <w:p w:rsidR="00424555" w:rsidRPr="00D74E0C" w:rsidRDefault="00424555" w:rsidP="00424555">
      <w:pPr>
        <w:pStyle w:val="Standard"/>
        <w:widowControl/>
        <w:snapToGrid w:val="0"/>
        <w:ind w:left="240" w:firstLineChars="200" w:firstLine="48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（二）具中華民國國籍兼具外國國籍，但未在國內設籍。</w:t>
      </w:r>
    </w:p>
    <w:p w:rsidR="00424555" w:rsidRPr="00D74E0C" w:rsidRDefault="00424555" w:rsidP="00424555">
      <w:pPr>
        <w:pStyle w:val="Standard"/>
        <w:widowControl/>
        <w:snapToGrid w:val="0"/>
        <w:ind w:leftChars="300" w:left="1440" w:hangingChars="300" w:hanging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（三）動員戡亂時期終止後，曾犯內亂罪、外患罪，或曾服公務有貪污行為，經有罪判決確定或通緝有案尚未結案。</w:t>
      </w:r>
    </w:p>
    <w:p w:rsidR="00424555" w:rsidRPr="00D74E0C" w:rsidRDefault="00424555" w:rsidP="00424555">
      <w:pPr>
        <w:pStyle w:val="Standard"/>
        <w:widowControl/>
        <w:snapToGrid w:val="0"/>
        <w:ind w:leftChars="300" w:left="1440" w:hangingChars="300" w:hanging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（四）犯前款以外之罪，判處有期徒刑以上之刑確定，尚未執行或執行未畢。但受緩刑宣告者，不在此限。</w:t>
      </w:r>
    </w:p>
    <w:p w:rsidR="00424555" w:rsidRPr="00D74E0C" w:rsidRDefault="00424555" w:rsidP="00424555">
      <w:pPr>
        <w:pStyle w:val="Standard"/>
        <w:widowControl/>
        <w:snapToGrid w:val="0"/>
        <w:ind w:leftChars="300" w:left="1440" w:hangingChars="300" w:hanging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（五）受監護或輔助宣告，尚未撤銷。</w:t>
      </w:r>
    </w:p>
    <w:p w:rsidR="00424555" w:rsidRPr="00D74E0C" w:rsidRDefault="00424555" w:rsidP="00424555">
      <w:pPr>
        <w:pStyle w:val="Standard"/>
        <w:widowControl/>
        <w:snapToGrid w:val="0"/>
        <w:ind w:leftChars="300" w:left="1440" w:hangingChars="300" w:hanging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（六）有性別平等教育法第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2</w:t>
      </w:r>
      <w:r w:rsidR="00DE5933" w:rsidRPr="00D74E0C">
        <w:rPr>
          <w:rFonts w:ascii="標楷體" w:eastAsia="標楷體" w:hAnsi="標楷體" w:cs="新細明體"/>
          <w:bCs/>
          <w:kern w:val="0"/>
          <w:szCs w:val="20"/>
        </w:rPr>
        <w:t>9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條所定性侵害、性騷擾、性霸凌行為。</w:t>
      </w:r>
    </w:p>
    <w:p w:rsidR="00424555" w:rsidRPr="00D74E0C" w:rsidRDefault="00424555" w:rsidP="00424555">
      <w:pPr>
        <w:pStyle w:val="Standard"/>
        <w:widowControl/>
        <w:snapToGrid w:val="0"/>
        <w:ind w:leftChars="300" w:left="1440" w:hangingChars="300" w:hanging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（七）具擬任單位一、二級主管之配偶及三親等以內血親、姻親身分。</w:t>
      </w:r>
    </w:p>
    <w:p w:rsidR="00424555" w:rsidRPr="00D74E0C" w:rsidRDefault="00424555" w:rsidP="00424555">
      <w:pPr>
        <w:pStyle w:val="Standard"/>
        <w:widowControl/>
        <w:snapToGrid w:val="0"/>
        <w:ind w:leftChars="300" w:left="1440" w:hangingChars="300" w:hanging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（八）具學生身分。</w:t>
      </w:r>
    </w:p>
    <w:p w:rsidR="00424555" w:rsidRPr="00D74E0C" w:rsidRDefault="00424555" w:rsidP="00424555">
      <w:pPr>
        <w:pStyle w:val="Standard"/>
        <w:widowControl/>
        <w:snapToGrid w:val="0"/>
        <w:ind w:leftChars="300" w:left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各單位擬聘具專長或特殊技能而在國內不易覓得之人才，且不涉及國家機密之職務，如符合就業服務法及國籍法等相關法令，循行政程序提審核小組審議，並取得勞動部工作許可及內政部移民署居留證者，得不受前項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1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款及第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2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款限制。</w:t>
      </w:r>
    </w:p>
    <w:p w:rsidR="00924FC9" w:rsidRPr="00D74E0C" w:rsidRDefault="00424555" w:rsidP="00424555">
      <w:pPr>
        <w:pStyle w:val="Standard"/>
        <w:widowControl/>
        <w:snapToGrid w:val="0"/>
        <w:ind w:leftChars="300" w:left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各單位擬聘具學生身分者，如已申請休學、利用公餘時間上課，或碩（博）士班學生已修畢課程，且能以全部時間投入工作，循行政程序提審核小組審議後，得不受第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1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項第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8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款限制。</w:t>
      </w:r>
    </w:p>
    <w:p w:rsidR="00924FC9" w:rsidRPr="00D74E0C" w:rsidRDefault="00424555" w:rsidP="00424555">
      <w:pPr>
        <w:pStyle w:val="Standard"/>
        <w:widowControl/>
        <w:snapToGrid w:val="0"/>
        <w:ind w:left="720" w:hangingChars="300" w:hanging="7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第9點 校聘人員進用後，如有第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4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點第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1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項各款情事之一，且未依第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4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點第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2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項及第</w:t>
      </w:r>
      <w:r w:rsidR="00DE5933" w:rsidRPr="00D74E0C">
        <w:rPr>
          <w:rFonts w:ascii="標楷體" w:eastAsia="標楷體" w:hAnsi="標楷體" w:cs="新細明體" w:hint="eastAsia"/>
          <w:bCs/>
          <w:kern w:val="0"/>
          <w:szCs w:val="20"/>
        </w:rPr>
        <w:t>3</w:t>
      </w: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項規定，循行政程序提審核小組審議者，本校得依國立臺灣大學校聘人員工作規則規定，終止契約。</w:t>
      </w:r>
    </w:p>
    <w:p w:rsidR="00424555" w:rsidRPr="00D74E0C" w:rsidRDefault="00424555" w:rsidP="00424555">
      <w:pPr>
        <w:pStyle w:val="Standard"/>
        <w:widowControl/>
        <w:snapToGrid w:val="0"/>
        <w:ind w:left="1440" w:hanging="144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第11點第5項 校聘人員如原係領有月退休金（俸）之退休（職）軍公教人員，應主動告知</w:t>
      </w:r>
    </w:p>
    <w:p w:rsidR="00924FC9" w:rsidRPr="00D74E0C" w:rsidRDefault="00424555" w:rsidP="00424555">
      <w:pPr>
        <w:pStyle w:val="Standard"/>
        <w:widowControl/>
        <w:snapToGrid w:val="0"/>
        <w:ind w:leftChars="50" w:left="120" w:firstLineChars="550" w:firstLine="1320"/>
        <w:rPr>
          <w:rFonts w:ascii="標楷體" w:eastAsia="標楷體" w:hAnsi="標楷體" w:cs="新細明體"/>
          <w:bCs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bCs/>
          <w:kern w:val="0"/>
          <w:szCs w:val="20"/>
        </w:rPr>
        <w:t>本校，其停支月退休金（俸）規定，依相關法令辦理。</w:t>
      </w:r>
    </w:p>
    <w:p w:rsidR="00924FC9" w:rsidRPr="00D74E0C" w:rsidRDefault="00061ACB">
      <w:pPr>
        <w:pStyle w:val="Standard"/>
      </w:pPr>
      <w:r w:rsidRPr="00D74E0C">
        <w:rPr>
          <w:rFonts w:ascii="標楷體" w:eastAsia="標楷體" w:hAnsi="標楷體"/>
          <w:b/>
          <w:sz w:val="28"/>
          <w:szCs w:val="28"/>
        </w:rPr>
        <w:t>※國立臺灣大學校聘人員工作規則（摘錄）</w:t>
      </w:r>
    </w:p>
    <w:p w:rsidR="009729E2" w:rsidRPr="00D74E0C" w:rsidRDefault="00061ACB" w:rsidP="009729E2">
      <w:pPr>
        <w:pStyle w:val="Standard"/>
        <w:snapToGrid w:val="0"/>
        <w:ind w:left="840" w:hanging="840"/>
        <w:rPr>
          <w:rFonts w:ascii="標楷體" w:eastAsia="標楷體" w:hAnsi="標楷體" w:cs="新細明體"/>
          <w:kern w:val="0"/>
          <w:szCs w:val="20"/>
        </w:rPr>
      </w:pPr>
      <w:r w:rsidRPr="00D74E0C">
        <w:rPr>
          <w:rFonts w:ascii="標楷體" w:eastAsia="標楷體" w:hAnsi="標楷體" w:cs="新細明體"/>
          <w:kern w:val="0"/>
          <w:szCs w:val="20"/>
        </w:rPr>
        <w:t xml:space="preserve">第37條 </w:t>
      </w:r>
      <w:r w:rsidR="009729E2" w:rsidRPr="00D74E0C">
        <w:rPr>
          <w:rFonts w:ascii="標楷體" w:eastAsia="標楷體" w:hAnsi="標楷體" w:cs="新細明體" w:hint="eastAsia"/>
          <w:kern w:val="0"/>
          <w:szCs w:val="20"/>
        </w:rPr>
        <w:t>校聘人員服務期間之校內外兼職及兼課（不含校內任務編組職務），應依個案具體事實循行政程序提審核小組，以不損及本校利益及不影響履行其原有職務為原則審議。</w:t>
      </w:r>
    </w:p>
    <w:p w:rsidR="00924FC9" w:rsidRPr="00D74E0C" w:rsidRDefault="009729E2" w:rsidP="009729E2">
      <w:pPr>
        <w:pStyle w:val="Standard"/>
        <w:snapToGrid w:val="0"/>
        <w:ind w:leftChars="350" w:left="840"/>
        <w:rPr>
          <w:rFonts w:ascii="標楷體" w:eastAsia="標楷體" w:hAnsi="標楷體" w:cs="新細明體"/>
          <w:kern w:val="0"/>
          <w:szCs w:val="20"/>
        </w:rPr>
      </w:pPr>
      <w:r w:rsidRPr="00D74E0C">
        <w:rPr>
          <w:rFonts w:ascii="標楷體" w:eastAsia="標楷體" w:hAnsi="標楷體" w:cs="新細明體" w:hint="eastAsia"/>
          <w:kern w:val="0"/>
          <w:szCs w:val="20"/>
        </w:rPr>
        <w:t>兼職及兼課應以安排於工作時間外為原則；如為工作時間內，每週併計不得超過</w:t>
      </w:r>
      <w:r w:rsidR="00DE5933" w:rsidRPr="00D74E0C">
        <w:rPr>
          <w:rFonts w:ascii="標楷體" w:eastAsia="標楷體" w:hAnsi="標楷體" w:cs="新細明體" w:hint="eastAsia"/>
          <w:kern w:val="0"/>
          <w:szCs w:val="20"/>
        </w:rPr>
        <w:t>4</w:t>
      </w:r>
      <w:r w:rsidRPr="00D74E0C">
        <w:rPr>
          <w:rFonts w:ascii="標楷體" w:eastAsia="標楷體" w:hAnsi="標楷體" w:cs="新細明體" w:hint="eastAsia"/>
          <w:kern w:val="0"/>
          <w:szCs w:val="20"/>
        </w:rPr>
        <w:t>小時，並應依請假規定以事假、特別休假、加班補休或寒（暑）假彈性休假辦理。但因公務需要經本校核准者，得以公假或公出辦理。</w:t>
      </w:r>
    </w:p>
    <w:p w:rsidR="00A73275" w:rsidRPr="00D74E0C" w:rsidRDefault="00061ACB">
      <w:pPr>
        <w:pStyle w:val="Standard"/>
        <w:rPr>
          <w:rStyle w:val="ab"/>
          <w:rFonts w:ascii="標楷體" w:eastAsia="標楷體" w:hAnsi="標楷體"/>
          <w:b/>
          <w:color w:val="auto"/>
          <w:sz w:val="28"/>
          <w:szCs w:val="28"/>
        </w:rPr>
      </w:pPr>
      <w:r w:rsidRPr="00D74E0C">
        <w:rPr>
          <w:rFonts w:ascii="標楷體" w:eastAsia="標楷體" w:hAnsi="標楷體"/>
          <w:b/>
          <w:sz w:val="28"/>
          <w:szCs w:val="28"/>
        </w:rPr>
        <w:t>※</w:t>
      </w:r>
      <w:hyperlink r:id="rId7" w:history="1">
        <w:r w:rsidR="00A73275" w:rsidRPr="00D74E0C">
          <w:rPr>
            <w:rStyle w:val="ab"/>
            <w:rFonts w:ascii="標楷體" w:eastAsia="標楷體" w:hAnsi="標楷體" w:hint="eastAsia"/>
            <w:b/>
            <w:color w:val="auto"/>
            <w:sz w:val="28"/>
          </w:rPr>
          <w:t>涉性別事件之學校不適任人員通報資訊蒐集及查詢處理利用辦法</w:t>
        </w:r>
      </w:hyperlink>
    </w:p>
    <w:p w:rsidR="00A73275" w:rsidRPr="00D74E0C" w:rsidRDefault="00A73275">
      <w:pPr>
        <w:pStyle w:val="Standard"/>
        <w:rPr>
          <w:rFonts w:ascii="標楷體" w:eastAsia="標楷體" w:hAnsi="標楷體"/>
          <w:b/>
          <w:sz w:val="32"/>
          <w:szCs w:val="28"/>
          <w:u w:val="single"/>
        </w:rPr>
      </w:pPr>
      <w:r w:rsidRPr="00D74E0C">
        <w:rPr>
          <w:rFonts w:ascii="標楷體" w:eastAsia="標楷體" w:hAnsi="標楷體"/>
          <w:b/>
          <w:sz w:val="28"/>
          <w:szCs w:val="28"/>
        </w:rPr>
        <w:t>※</w:t>
      </w:r>
      <w:hyperlink r:id="rId8" w:history="1">
        <w:r w:rsidRPr="00D74E0C">
          <w:rPr>
            <w:rStyle w:val="ab"/>
            <w:rFonts w:ascii="標楷體" w:eastAsia="標楷體" w:hAnsi="標楷體"/>
            <w:b/>
            <w:color w:val="auto"/>
            <w:sz w:val="28"/>
            <w:szCs w:val="28"/>
          </w:rPr>
          <w:t>性別平等教育法第</w:t>
        </w:r>
        <w:r w:rsidR="009729E2" w:rsidRPr="00D74E0C">
          <w:rPr>
            <w:rStyle w:val="ab"/>
            <w:rFonts w:ascii="標楷體" w:eastAsia="標楷體" w:hAnsi="標楷體"/>
            <w:b/>
            <w:color w:val="auto"/>
            <w:sz w:val="28"/>
            <w:szCs w:val="28"/>
          </w:rPr>
          <w:t>2</w:t>
        </w:r>
        <w:r w:rsidR="009729E2" w:rsidRPr="00D74E0C">
          <w:rPr>
            <w:rStyle w:val="ab"/>
            <w:rFonts w:ascii="標楷體" w:eastAsia="標楷體" w:hAnsi="標楷體"/>
            <w:b/>
            <w:color w:val="auto"/>
            <w:sz w:val="28"/>
            <w:szCs w:val="28"/>
          </w:rPr>
          <w:t>9</w:t>
        </w:r>
        <w:r w:rsidRPr="00D74E0C">
          <w:rPr>
            <w:rStyle w:val="ab"/>
            <w:rFonts w:ascii="標楷體" w:eastAsia="標楷體" w:hAnsi="標楷體"/>
            <w:b/>
            <w:color w:val="auto"/>
            <w:sz w:val="28"/>
            <w:szCs w:val="28"/>
          </w:rPr>
          <w:t>條</w:t>
        </w:r>
      </w:hyperlink>
    </w:p>
    <w:p w:rsidR="00924FC9" w:rsidRPr="00D74E0C" w:rsidRDefault="00061ACB">
      <w:pPr>
        <w:pStyle w:val="Standard"/>
      </w:pPr>
      <w:r w:rsidRPr="00D74E0C">
        <w:rPr>
          <w:rFonts w:ascii="標楷體" w:eastAsia="標楷體" w:hAnsi="標楷體"/>
          <w:b/>
          <w:sz w:val="28"/>
          <w:szCs w:val="28"/>
        </w:rPr>
        <w:t>※</w:t>
      </w:r>
      <w:hyperlink r:id="rId9" w:history="1">
        <w:r w:rsidRPr="00D74E0C">
          <w:rPr>
            <w:rStyle w:val="ab"/>
            <w:rFonts w:ascii="標楷體" w:eastAsia="標楷體" w:hAnsi="標楷體"/>
            <w:b/>
            <w:color w:val="auto"/>
            <w:sz w:val="28"/>
            <w:szCs w:val="28"/>
          </w:rPr>
          <w:t>臺灣地區與大陸地區人民關係條例第21條</w:t>
        </w:r>
      </w:hyperlink>
    </w:p>
    <w:sectPr w:rsidR="00924FC9" w:rsidRPr="00D74E0C" w:rsidSect="00A73275">
      <w:pgSz w:w="11906" w:h="16838"/>
      <w:pgMar w:top="1021" w:right="1021" w:bottom="1021" w:left="102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86" w:rsidRDefault="009F3286">
      <w:r>
        <w:separator/>
      </w:r>
    </w:p>
  </w:endnote>
  <w:endnote w:type="continuationSeparator" w:id="0">
    <w:p w:rsidR="009F3286" w:rsidRDefault="009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86" w:rsidRDefault="009F3286">
      <w:r>
        <w:rPr>
          <w:color w:val="000000"/>
        </w:rPr>
        <w:separator/>
      </w:r>
    </w:p>
  </w:footnote>
  <w:footnote w:type="continuationSeparator" w:id="0">
    <w:p w:rsidR="009F3286" w:rsidRDefault="009F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616"/>
    <w:multiLevelType w:val="multilevel"/>
    <w:tmpl w:val="626C6950"/>
    <w:styleLink w:val="WWNum4"/>
    <w:lvl w:ilvl="0">
      <w:start w:val="1"/>
      <w:numFmt w:val="japaneseCounting"/>
      <w:lvlText w:val="(%1)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9A722AF"/>
    <w:multiLevelType w:val="multilevel"/>
    <w:tmpl w:val="7F08FB6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taiwaneseCountingThousand"/>
      <w:lvlText w:val="（%2）"/>
      <w:lvlJc w:val="left"/>
      <w:pPr>
        <w:ind w:left="1557" w:hanging="72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42532A8C"/>
    <w:multiLevelType w:val="multilevel"/>
    <w:tmpl w:val="E02A686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07694A"/>
    <w:multiLevelType w:val="multilevel"/>
    <w:tmpl w:val="0DA866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C7375A3"/>
    <w:multiLevelType w:val="multilevel"/>
    <w:tmpl w:val="818698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F76DE7"/>
    <w:multiLevelType w:val="multilevel"/>
    <w:tmpl w:val="ECA4D632"/>
    <w:styleLink w:val="WWNum5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B33524"/>
    <w:multiLevelType w:val="multilevel"/>
    <w:tmpl w:val="DAB28D24"/>
    <w:styleLink w:val="WW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70582BC9"/>
    <w:multiLevelType w:val="multilevel"/>
    <w:tmpl w:val="FB1C28BC"/>
    <w:styleLink w:val="WWNum6"/>
    <w:lvl w:ilvl="0">
      <w:start w:val="1"/>
      <w:numFmt w:val="japaneseCount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9"/>
    <w:rsid w:val="00061ACB"/>
    <w:rsid w:val="002152C3"/>
    <w:rsid w:val="0027726B"/>
    <w:rsid w:val="002E2A6D"/>
    <w:rsid w:val="00327BFC"/>
    <w:rsid w:val="004169A8"/>
    <w:rsid w:val="00424555"/>
    <w:rsid w:val="005A196C"/>
    <w:rsid w:val="00635CF4"/>
    <w:rsid w:val="00661577"/>
    <w:rsid w:val="006672F4"/>
    <w:rsid w:val="0077040A"/>
    <w:rsid w:val="007B4243"/>
    <w:rsid w:val="007F4BE5"/>
    <w:rsid w:val="00924FC9"/>
    <w:rsid w:val="009729E2"/>
    <w:rsid w:val="009F3286"/>
    <w:rsid w:val="00A17A36"/>
    <w:rsid w:val="00A23AD7"/>
    <w:rsid w:val="00A73275"/>
    <w:rsid w:val="00C248B0"/>
    <w:rsid w:val="00C52065"/>
    <w:rsid w:val="00CE0649"/>
    <w:rsid w:val="00D74E0C"/>
    <w:rsid w:val="00D77068"/>
    <w:rsid w:val="00DA7000"/>
    <w:rsid w:val="00D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6D6A9"/>
  <w15:docId w15:val="{B8E00840-4F54-473F-B909-4D51EA7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ascii="標楷體" w:eastAsia="標楷體" w:hAnsi="標楷體" w:cs="Times New Roman"/>
      <w:sz w:val="28"/>
      <w:lang w:val="en-US"/>
    </w:rPr>
  </w:style>
  <w:style w:type="character" w:styleId="ab">
    <w:name w:val="Hyperlink"/>
    <w:basedOn w:val="a0"/>
    <w:rPr>
      <w:color w:val="0563C1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character" w:styleId="ac">
    <w:name w:val="FollowedHyperlink"/>
    <w:basedOn w:val="a0"/>
    <w:uiPriority w:val="99"/>
    <w:semiHidden/>
    <w:unhideWhenUsed/>
    <w:rsid w:val="00972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Single.aspx?pcode=H0080067&amp;flno=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H0020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Single.aspx?pcode=Q0010001&amp;flno=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國立臺灣大學新進約用工作人員切結書</dc:title>
  <dc:creator>user</dc:creator>
  <cp:lastModifiedBy>user</cp:lastModifiedBy>
  <cp:revision>5</cp:revision>
  <cp:lastPrinted>2018-11-19T05:54:00Z</cp:lastPrinted>
  <dcterms:created xsi:type="dcterms:W3CDTF">2024-01-12T01:03:00Z</dcterms:created>
  <dcterms:modified xsi:type="dcterms:W3CDTF">2024-01-15T07:15:00Z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